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rial" w:cs="Arial" w:eastAsia="Arial" w:hAnsi="Arial"/>
          <w:b/>
          <w:bCs/>
          <w:color w:val="1C1B19"/>
          <w:spacing w:val="10"/>
          <w:sz w:val="40"/>
          <w:szCs w:val="40"/>
        </w:rPr>
        <w:t xml:space="preserve">MARTIN KOCKX, PE</w:t>
      </w:r>
    </w:p>
    <w:p>
      <w:pPr>
        <w:spacing w:after="60"/>
      </w:pPr>
      <w:r>
        <w:rPr>
          <w:b/>
          <w:bCs/>
          <w:color w:val="0E5C5B"/>
          <w:sz w:val="22"/>
          <w:szCs w:val="22"/>
        </w:rPr>
        <w:t xml:space="preserve">Smart Manufacturing  ·  AI Enablement  ·  Industrial Data Strategy</w:t>
      </w:r>
    </w:p>
    <w:p>
      <w:pPr>
        <w:pBdr>
          <w:bottom w:val="single" w:color="0E5C5B" w:sz="6" w:space="2"/>
        </w:pBdr>
        <w:spacing w:after="40"/>
      </w:pPr>
      <w:r>
        <w:rPr>
          <w:color w:val="46443F"/>
          <w:sz w:val="19"/>
          <w:szCs w:val="19"/>
        </w:rPr>
        <w:t xml:space="preserve">Belmont, MA</w:t>
      </w:r>
      <w:r>
        <w:rPr>
          <w:color w:val="46443F"/>
          <w:sz w:val="19"/>
          <w:szCs w:val="19"/>
        </w:rPr>
        <w:t xml:space="preserve">  |  (857) 303-5412  |  </w:t>
      </w:r>
      <w:hyperlink w:history="1" r:id="rIdge_irjtxmci_l83ws67ra">
        <w:r>
          <w:rPr>
            <w:color w:val="0E5C5B"/>
            <w:sz w:val="19"/>
            <w:szCs w:val="19"/>
          </w:rPr>
          <w:t xml:space="preserve">kockx.martin.pub@pm.me</w:t>
        </w:r>
      </w:hyperlink>
      <w:r>
        <w:rPr>
          <w:color w:val="46443F"/>
          <w:sz w:val="19"/>
          <w:szCs w:val="19"/>
        </w:rPr>
        <w:t xml:space="preserve">  |  </w:t>
      </w:r>
      <w:hyperlink w:history="1" r:id="rIdi2es0h_86g1beevfapik6">
        <w:r>
          <w:rPr>
            <w:color w:val="0E5C5B"/>
            <w:sz w:val="19"/>
            <w:szCs w:val="19"/>
          </w:rPr>
          <w:t xml:space="preserve">linkedin.com/in/martinkockx</w:t>
        </w:r>
      </w:hyperlink>
      <w:r>
        <w:rPr>
          <w:color w:val="46443F"/>
          <w:sz w:val="19"/>
          <w:szCs w:val="19"/>
        </w:rPr>
        <w:t xml:space="preserve">  |  </w:t>
      </w:r>
      <w:hyperlink w:history="1" r:id="rIdxbgbxt7oupduk0mhnfu8q">
        <w:r>
          <w:rPr>
            <w:color w:val="0E5C5B"/>
            <w:sz w:val="19"/>
            <w:szCs w:val="19"/>
          </w:rPr>
          <w:t xml:space="preserve">martinkockx.org</w:t>
        </w:r>
      </w:hyperlink>
    </w:p>
    <w:p>
      <w:pPr>
        <w:pStyle w:val="Heading2"/>
        <w:pBdr>
          <w:bottom w:val="single" w:color="0E5C5B" w:sz="6" w:space="2"/>
        </w:pBdr>
        <w:spacing w:after="100" w:before="240"/>
      </w:pPr>
      <w:r>
        <w:rPr>
          <w:rFonts w:ascii="Arial" w:cs="Arial" w:eastAsia="Arial" w:hAnsi="Arial"/>
          <w:b/>
          <w:bCs/>
          <w:color w:val="0E5C5B"/>
          <w:spacing w:val="20"/>
          <w:sz w:val="22"/>
          <w:szCs w:val="22"/>
        </w:rPr>
        <w:t xml:space="preserve">PROFESSIONAL SUMMARY</w:t>
      </w:r>
    </w:p>
    <w:p>
      <w:pPr>
        <w:spacing w:after="60"/>
      </w:pPr>
      <w:r>
        <w:rPr>
          <w:color w:val="1C1B19"/>
          <w:sz w:val="20"/>
          <w:szCs w:val="20"/>
        </w:rPr>
        <w:t xml:space="preserve">Manufacturing systems engineer and digital strategy leader with 13+ years in GMP life sciences, now focused on AI enablement, industrial DataOps, and smart manufacturing. I turn fragmented manufacturing systems and data into trustworthy, AI-ready foundations—defining the data architecture, governance, and roadmaps that connect the plant floor to advanced analytics and AI. Licensed Professional Engineer with deep grounding in MES, SCADA, historians, and process automation across biologics and cell &amp; gene therapy operations.</w:t>
      </w:r>
    </w:p>
    <w:p>
      <w:pPr>
        <w:pStyle w:val="Heading2"/>
        <w:pBdr>
          <w:bottom w:val="single" w:color="0E5C5B" w:sz="6" w:space="2"/>
        </w:pBdr>
        <w:spacing w:after="100" w:before="240"/>
      </w:pPr>
      <w:r>
        <w:rPr>
          <w:rFonts w:ascii="Arial" w:cs="Arial" w:eastAsia="Arial" w:hAnsi="Arial"/>
          <w:b/>
          <w:bCs/>
          <w:color w:val="0E5C5B"/>
          <w:spacing w:val="20"/>
          <w:sz w:val="22"/>
          <w:szCs w:val="22"/>
        </w:rPr>
        <w:t xml:space="preserve">AREAS OF EXPERTISE</w:t>
      </w:r>
    </w:p>
    <w:p>
      <w:pPr>
        <w:spacing w:after="40"/>
        <w:ind w:left="0"/>
      </w:pPr>
      <w:r>
        <w:rPr>
          <w:b/>
          <w:bCs/>
          <w:color w:val="0E5C5B"/>
          <w:sz w:val="20"/>
          <w:szCs w:val="20"/>
        </w:rPr>
        <w:t xml:space="preserve">AI &amp; Analytics:  </w:t>
      </w:r>
      <w:r>
        <w:rPr>
          <w:color w:val="1C1B19"/>
          <w:sz w:val="20"/>
          <w:szCs w:val="20"/>
        </w:rPr>
        <w:t xml:space="preserve">AI enablement, AI use-case readiness &amp; governance, generative AI, machine learning, advanced &amp; predictive analytics, AI accountability</w:t>
      </w:r>
    </w:p>
    <w:p>
      <w:pPr>
        <w:spacing w:after="40"/>
        <w:ind w:left="0"/>
      </w:pPr>
      <w:r>
        <w:rPr>
          <w:b/>
          <w:bCs/>
          <w:color w:val="0E5C5B"/>
          <w:sz w:val="20"/>
          <w:szCs w:val="20"/>
        </w:rPr>
        <w:t xml:space="preserve">Industrial DataOps &amp; Data:  </w:t>
      </w:r>
      <w:r>
        <w:rPr>
          <w:color w:val="1C1B19"/>
          <w:sz w:val="20"/>
          <w:szCs w:val="20"/>
        </w:rPr>
        <w:t xml:space="preserve">AI-ready data, data architecture, data governance, semantic models, manufacturing intent &amp; context, data integrity (ALCOA+)</w:t>
      </w:r>
    </w:p>
    <w:p>
      <w:pPr>
        <w:spacing w:after="40"/>
        <w:ind w:left="0"/>
      </w:pPr>
      <w:r>
        <w:rPr>
          <w:b/>
          <w:bCs/>
          <w:color w:val="0E5C5B"/>
          <w:sz w:val="20"/>
          <w:szCs w:val="20"/>
        </w:rPr>
        <w:t xml:space="preserve">Smart Manufacturing &amp; Digital:  </w:t>
      </w:r>
      <w:r>
        <w:rPr>
          <w:color w:val="1C1B19"/>
          <w:sz w:val="20"/>
          <w:szCs w:val="20"/>
        </w:rPr>
        <w:t xml:space="preserve">Smart manufacturing / Industry 4.0, digital transformation, target architecture, strategy &amp; roadmap, MES, electronic batch records (eBR), process historians (OSIsoft / AVEVA PI), review &amp; release by exception, ISA-88 / ISA-95</w:t>
      </w:r>
    </w:p>
    <w:p>
      <w:pPr>
        <w:spacing w:after="40"/>
        <w:ind w:left="0"/>
      </w:pPr>
      <w:r>
        <w:rPr>
          <w:b/>
          <w:bCs/>
          <w:color w:val="0E5C5B"/>
          <w:sz w:val="20"/>
          <w:szCs w:val="20"/>
        </w:rPr>
        <w:t xml:space="preserve">Data &amp; Cloud Platforms:  </w:t>
      </w:r>
      <w:r>
        <w:rPr>
          <w:color w:val="1C1B19"/>
          <w:sz w:val="20"/>
          <w:szCs w:val="20"/>
        </w:rPr>
        <w:t xml:space="preserve">AWS, Snowflake, Databricks; SCADA / HMI (Ignition, Rockwell, GE Proficy, DeltaV); PLC / DCS; LIMS; ERP</w:t>
      </w:r>
    </w:p>
    <w:p>
      <w:pPr>
        <w:spacing w:after="40"/>
        <w:ind w:left="0"/>
      </w:pPr>
      <w:r>
        <w:rPr>
          <w:b/>
          <w:bCs/>
          <w:color w:val="0E5C5B"/>
          <w:sz w:val="20"/>
          <w:szCs w:val="20"/>
        </w:rPr>
        <w:t xml:space="preserve">Quality &amp; Compliance (GxP):  </w:t>
      </w:r>
      <w:r>
        <w:rPr>
          <w:color w:val="1C1B19"/>
          <w:sz w:val="20"/>
          <w:szCs w:val="20"/>
        </w:rPr>
        <w:t xml:space="preserve">21 CFR Part 11, EU GMP Annex 11, GAMP 5, computer system validation (CSV), IQ / OQ / PQ, CAPA, deviation, change control</w:t>
      </w:r>
    </w:p>
    <w:p>
      <w:pPr>
        <w:spacing w:after="40"/>
        <w:ind w:left="0"/>
      </w:pPr>
      <w:r>
        <w:rPr>
          <w:b/>
          <w:bCs/>
          <w:color w:val="0E5C5B"/>
          <w:sz w:val="20"/>
          <w:szCs w:val="20"/>
        </w:rPr>
        <w:t xml:space="preserve">Leadership:  </w:t>
      </w:r>
      <w:r>
        <w:rPr>
          <w:color w:val="1C1B19"/>
          <w:sz w:val="20"/>
          <w:szCs w:val="20"/>
        </w:rPr>
        <w:t xml:space="preserve">Program &amp; portfolio management, global multi-site delivery, vendor management, stakeholder alignment, team mentoring</w:t>
      </w:r>
    </w:p>
    <w:p>
      <w:pPr>
        <w:pStyle w:val="Heading2"/>
        <w:pBdr>
          <w:bottom w:val="single" w:color="0E5C5B" w:sz="6" w:space="2"/>
        </w:pBdr>
        <w:spacing w:after="100" w:before="240"/>
      </w:pPr>
      <w:r>
        <w:rPr>
          <w:rFonts w:ascii="Arial" w:cs="Arial" w:eastAsia="Arial" w:hAnsi="Arial"/>
          <w:b/>
          <w:bCs/>
          <w:color w:val="0E5C5B"/>
          <w:spacing w:val="20"/>
          <w:sz w:val="22"/>
          <w:szCs w:val="22"/>
        </w:rPr>
        <w:t xml:space="preserve">PROFESSIONAL EXPERIENCE</w:t>
      </w:r>
    </w:p>
    <w:p>
      <w:pPr>
        <w:tabs>
          <w:tab w:val="right" w:pos="9026"/>
        </w:tabs>
        <w:spacing w:after="0" w:before="160"/>
      </w:pPr>
      <w:r>
        <w:rPr>
          <w:b/>
          <w:bCs/>
          <w:color w:val="1C1B19"/>
          <w:sz w:val="22"/>
          <w:szCs w:val="22"/>
        </w:rPr>
        <w:t xml:space="preserve">Principal Manufacturing Systems Engineer</w:t>
      </w:r>
      <w:r>
        <w:rPr>
          <w:color w:val="46443F"/>
          <w:sz w:val="19"/>
          <w:szCs w:val="19"/>
        </w:rPr>
        <w:t xml:space="preserve">	Sep 2024 – Present</w:t>
      </w:r>
    </w:p>
    <w:p>
      <w:pPr>
        <w:spacing w:after="40"/>
      </w:pPr>
      <w:r>
        <w:rPr>
          <w:i/>
          <w:iCs/>
          <w:color w:val="46443F"/>
          <w:sz w:val="20"/>
          <w:szCs w:val="20"/>
        </w:rPr>
        <w:t xml:space="preserve">Vertex Pharmaceuticals — Boston, MA</w:t>
      </w:r>
    </w:p>
    <w:p>
      <w:pPr>
        <w:pStyle w:val="ListParagraph"/>
        <w:numPr>
          <w:ilvl w:val="0"/>
          <w:numId w:val="2"/>
        </w:numPr>
        <w:spacing w:after="20"/>
      </w:pPr>
      <w:r>
        <w:rPr>
          <w:color w:val="1C1B19"/>
          <w:sz w:val="20"/>
          <w:szCs w:val="20"/>
        </w:rPr>
        <w:t xml:space="preserve">Own the full lifecycle of manufacturing systems and partner with manufacturing and technology leadership to set smart-manufacturing strategy and roadmap.</w:t>
      </w:r>
    </w:p>
    <w:p>
      <w:pPr>
        <w:pStyle w:val="ListParagraph"/>
        <w:numPr>
          <w:ilvl w:val="0"/>
          <w:numId w:val="2"/>
        </w:numPr>
        <w:spacing w:after="20"/>
      </w:pPr>
      <w:r>
        <w:rPr>
          <w:color w:val="1C1B19"/>
          <w:sz w:val="20"/>
          <w:szCs w:val="20"/>
        </w:rPr>
        <w:t xml:space="preserve">Led the search, evaluation, selection, and the deployment, implementation, and validation of a new SCADA system for the Cell &amp; Gene Therapy (CGT) department.</w:t>
      </w:r>
    </w:p>
    <w:p>
      <w:pPr>
        <w:pStyle w:val="ListParagraph"/>
        <w:numPr>
          <w:ilvl w:val="0"/>
          <w:numId w:val="2"/>
        </w:numPr>
        <w:spacing w:after="20"/>
      </w:pPr>
      <w:r>
        <w:rPr>
          <w:color w:val="1C1B19"/>
          <w:sz w:val="20"/>
          <w:szCs w:val="20"/>
        </w:rPr>
        <w:t xml:space="preserve">Drive manufacturing ontology and the knowledge / semantics layer, plus industrial DataOps investigations, to advance AI readiness, data enablement, and the next phase of the digitization journey.</w:t>
      </w:r>
    </w:p>
    <w:p>
      <w:pPr>
        <w:pStyle w:val="ListParagraph"/>
        <w:numPr>
          <w:ilvl w:val="0"/>
          <w:numId w:val="2"/>
        </w:numPr>
        <w:spacing w:after="20"/>
      </w:pPr>
      <w:r>
        <w:rPr>
          <w:color w:val="1C1B19"/>
          <w:sz w:val="20"/>
          <w:szCs w:val="20"/>
        </w:rPr>
        <w:t xml:space="preserve">Partner with manufacturing, engineering, and quality leaders toward commercial readiness; contribute to batch disposition and related initiatives.</w:t>
      </w:r>
    </w:p>
    <w:p>
      <w:pPr>
        <w:pStyle w:val="ListParagraph"/>
        <w:numPr>
          <w:ilvl w:val="0"/>
          <w:numId w:val="2"/>
        </w:numPr>
        <w:spacing w:after="20"/>
      </w:pPr>
      <w:r>
        <w:rPr>
          <w:color w:val="1C1B19"/>
          <w:sz w:val="20"/>
          <w:szCs w:val="20"/>
        </w:rPr>
        <w:t xml:space="preserve">Ensure GxP, data-integrity, and computer-system-lifecycle compliance (21 CFR Part 11, EU Annex 11, GAMP 5).</w:t>
      </w:r>
    </w:p>
    <w:p>
      <w:pPr>
        <w:tabs>
          <w:tab w:val="right" w:pos="9026"/>
        </w:tabs>
        <w:spacing w:after="0" w:before="160"/>
      </w:pPr>
      <w:r>
        <w:rPr>
          <w:b/>
          <w:bCs/>
          <w:color w:val="1C1B19"/>
          <w:sz w:val="22"/>
          <w:szCs w:val="22"/>
        </w:rPr>
        <w:t xml:space="preserve">Digital Plant Program Manager</w:t>
      </w:r>
      <w:r>
        <w:rPr>
          <w:color w:val="46443F"/>
          <w:sz w:val="19"/>
          <w:szCs w:val="19"/>
        </w:rPr>
        <w:t xml:space="preserve">	2023 – 2024</w:t>
      </w:r>
    </w:p>
    <w:p>
      <w:pPr>
        <w:spacing w:after="40"/>
      </w:pPr>
      <w:r>
        <w:rPr>
          <w:i/>
          <w:iCs/>
          <w:color w:val="46443F"/>
          <w:sz w:val="20"/>
          <w:szCs w:val="20"/>
        </w:rPr>
        <w:t xml:space="preserve">MilliporeSigma — Burlington, MA</w:t>
      </w:r>
    </w:p>
    <w:p>
      <w:pPr>
        <w:pStyle w:val="ListParagraph"/>
        <w:numPr>
          <w:ilvl w:val="0"/>
          <w:numId w:val="2"/>
        </w:numPr>
        <w:spacing w:after="20"/>
      </w:pPr>
      <w:r>
        <w:rPr>
          <w:color w:val="1C1B19"/>
          <w:sz w:val="20"/>
          <w:szCs w:val="20"/>
        </w:rPr>
        <w:t xml:space="preserve">Built and led a new global Digital Plant Program spanning 62 manufacturing facilities.</w:t>
      </w:r>
    </w:p>
    <w:p>
      <w:pPr>
        <w:pStyle w:val="ListParagraph"/>
        <w:numPr>
          <w:ilvl w:val="0"/>
          <w:numId w:val="2"/>
        </w:numPr>
        <w:spacing w:after="20"/>
      </w:pPr>
      <w:r>
        <w:rPr>
          <w:color w:val="1C1B19"/>
          <w:sz w:val="20"/>
          <w:szCs w:val="20"/>
        </w:rPr>
        <w:t xml:space="preserve">Defined sector target architecture and digital strategy across MES, historian, batch, and analytics.</w:t>
      </w:r>
    </w:p>
    <w:p>
      <w:pPr>
        <w:pStyle w:val="ListParagraph"/>
        <w:numPr>
          <w:ilvl w:val="0"/>
          <w:numId w:val="2"/>
        </w:numPr>
        <w:spacing w:after="20"/>
      </w:pPr>
      <w:r>
        <w:rPr>
          <w:color w:val="1C1B19"/>
          <w:sz w:val="20"/>
          <w:szCs w:val="20"/>
        </w:rPr>
        <w:t xml:space="preserve">Drove solution decisions across the program portfolio with accountability for budget, quality, and schedule.</w:t>
      </w:r>
    </w:p>
    <w:p>
      <w:pPr>
        <w:pStyle w:val="ListParagraph"/>
        <w:numPr>
          <w:ilvl w:val="0"/>
          <w:numId w:val="2"/>
        </w:numPr>
        <w:spacing w:after="20"/>
      </w:pPr>
      <w:r>
        <w:rPr>
          <w:color w:val="1C1B19"/>
          <w:sz w:val="20"/>
          <w:szCs w:val="20"/>
        </w:rPr>
        <w:t xml:space="preserve">Established the digital roadmap connecting plant-floor systems to enterprise data and analytics.</w:t>
      </w:r>
    </w:p>
    <w:p>
      <w:pPr>
        <w:tabs>
          <w:tab w:val="right" w:pos="9026"/>
        </w:tabs>
        <w:spacing w:after="0" w:before="160"/>
      </w:pPr>
      <w:r>
        <w:rPr>
          <w:b/>
          <w:bCs/>
          <w:color w:val="1C1B19"/>
          <w:sz w:val="22"/>
          <w:szCs w:val="22"/>
        </w:rPr>
        <w:t xml:space="preserve">Staff Automation Engineer</w:t>
      </w:r>
      <w:r>
        <w:rPr>
          <w:color w:val="46443F"/>
          <w:sz w:val="19"/>
          <w:szCs w:val="19"/>
        </w:rPr>
        <w:t xml:space="preserve">	2021 – 2023</w:t>
      </w:r>
    </w:p>
    <w:p>
      <w:pPr>
        <w:spacing w:after="40"/>
      </w:pPr>
      <w:r>
        <w:rPr>
          <w:i/>
          <w:iCs/>
          <w:color w:val="46443F"/>
          <w:sz w:val="20"/>
          <w:szCs w:val="20"/>
        </w:rPr>
        <w:t xml:space="preserve">Thermo Fisher Scientific — Cambridge, MA</w:t>
      </w:r>
    </w:p>
    <w:p>
      <w:pPr>
        <w:pStyle w:val="ListParagraph"/>
        <w:numPr>
          <w:ilvl w:val="0"/>
          <w:numId w:val="2"/>
        </w:numPr>
        <w:spacing w:after="20"/>
      </w:pPr>
      <w:r>
        <w:rPr>
          <w:color w:val="1C1B19"/>
          <w:sz w:val="20"/>
          <w:szCs w:val="20"/>
        </w:rPr>
        <w:t xml:space="preserve">First operating-company role—embedded daily with manufacturing, quality, and validation, shifting from one-off technology deployment to full-lifecycle ownership of systems.</w:t>
      </w:r>
    </w:p>
    <w:p>
      <w:pPr>
        <w:pStyle w:val="ListParagraph"/>
        <w:numPr>
          <w:ilvl w:val="0"/>
          <w:numId w:val="2"/>
        </w:numPr>
        <w:spacing w:after="20"/>
      </w:pPr>
      <w:r>
        <w:rPr>
          <w:color w:val="1C1B19"/>
          <w:sz w:val="20"/>
          <w:szCs w:val="20"/>
        </w:rPr>
        <w:t xml:space="preserve">Closed equipment integration gaps facility-wide—making all equipment integratable, remotely accessible, and maintainable, and onboarding systems into Active Directory to cut the passwords users had to manage.</w:t>
      </w:r>
    </w:p>
    <w:p>
      <w:pPr>
        <w:pStyle w:val="ListParagraph"/>
        <w:numPr>
          <w:ilvl w:val="0"/>
          <w:numId w:val="2"/>
        </w:numPr>
        <w:spacing w:after="20"/>
      </w:pPr>
      <w:r>
        <w:rPr>
          <w:color w:val="1C1B19"/>
          <w:sz w:val="20"/>
          <w:szCs w:val="20"/>
        </w:rPr>
        <w:t xml:space="preserve">Streamlined automation support by launching apps to request, track, and self-resolve issues against a known-issues knowledge base, backed by an internal issue/resolution tracker that sped search and reuse of prior fixes.</w:t>
      </w:r>
    </w:p>
    <w:p>
      <w:pPr>
        <w:pStyle w:val="ListParagraph"/>
        <w:numPr>
          <w:ilvl w:val="0"/>
          <w:numId w:val="2"/>
        </w:numPr>
        <w:spacing w:after="20"/>
      </w:pPr>
      <w:r>
        <w:rPr>
          <w:color w:val="1C1B19"/>
          <w:sz w:val="20"/>
          <w:szCs w:val="20"/>
        </w:rPr>
        <w:t xml:space="preserve">Led development and go-live of a facility-wide alarm management system—all alarms in a single pane of glass with disposition and escalation-based notifications—and a centralized batch reporting engine delivering consistent reports across any vendor or system.</w:t>
      </w:r>
    </w:p>
    <w:p>
      <w:pPr>
        <w:pStyle w:val="ListParagraph"/>
        <w:numPr>
          <w:ilvl w:val="0"/>
          <w:numId w:val="2"/>
        </w:numPr>
        <w:spacing w:after="20"/>
      </w:pPr>
      <w:r>
        <w:rPr>
          <w:color w:val="1C1B19"/>
          <w:sz w:val="20"/>
          <w:szCs w:val="20"/>
        </w:rPr>
        <w:t xml:space="preserve">Ran vendor evaluation, scoring, and selection for an electronic batch record (eBR) system, defining use-case scope, business requirements, and justification through to a recommended plan.</w:t>
      </w:r>
    </w:p>
    <w:p>
      <w:pPr>
        <w:tabs>
          <w:tab w:val="right" w:pos="9026"/>
        </w:tabs>
        <w:spacing w:after="0" w:before="160"/>
      </w:pPr>
      <w:r>
        <w:rPr>
          <w:b/>
          <w:bCs/>
          <w:color w:val="1C1B19"/>
          <w:sz w:val="22"/>
          <w:szCs w:val="22"/>
        </w:rPr>
        <w:t xml:space="preserve">Senior Project Engineer</w:t>
      </w:r>
      <w:r>
        <w:rPr>
          <w:color w:val="46443F"/>
          <w:sz w:val="19"/>
          <w:szCs w:val="19"/>
        </w:rPr>
        <w:t xml:space="preserve">	2020 – 2021</w:t>
      </w:r>
    </w:p>
    <w:p>
      <w:pPr>
        <w:spacing w:after="40"/>
      </w:pPr>
      <w:r>
        <w:rPr>
          <w:i/>
          <w:iCs/>
          <w:color w:val="46443F"/>
          <w:sz w:val="20"/>
          <w:szCs w:val="20"/>
        </w:rPr>
        <w:t xml:space="preserve">Constellation Brands — Napa, CA</w:t>
      </w:r>
    </w:p>
    <w:p>
      <w:pPr>
        <w:pStyle w:val="ListParagraph"/>
        <w:numPr>
          <w:ilvl w:val="0"/>
          <w:numId w:val="2"/>
        </w:numPr>
        <w:spacing w:after="20"/>
      </w:pPr>
      <w:r>
        <w:rPr>
          <w:color w:val="1C1B19"/>
          <w:sz w:val="20"/>
          <w:szCs w:val="20"/>
        </w:rPr>
        <w:t xml:space="preserve">Process and automation engineering for large-scale production operations.</w:t>
      </w:r>
    </w:p>
    <w:p>
      <w:pPr>
        <w:tabs>
          <w:tab w:val="right" w:pos="9026"/>
        </w:tabs>
        <w:spacing w:after="0" w:before="160"/>
      </w:pPr>
      <w:r>
        <w:rPr>
          <w:b/>
          <w:bCs/>
          <w:color w:val="1C1B19"/>
          <w:sz w:val="22"/>
          <w:szCs w:val="22"/>
        </w:rPr>
        <w:t xml:space="preserve">Senior Controls Engineer</w:t>
      </w:r>
      <w:r>
        <w:rPr>
          <w:color w:val="46443F"/>
          <w:sz w:val="19"/>
          <w:szCs w:val="19"/>
        </w:rPr>
        <w:t xml:space="preserve">	2019 – 2020</w:t>
      </w:r>
    </w:p>
    <w:p>
      <w:pPr>
        <w:spacing w:after="40"/>
      </w:pPr>
      <w:r>
        <w:rPr>
          <w:i/>
          <w:iCs/>
          <w:color w:val="46443F"/>
          <w:sz w:val="20"/>
          <w:szCs w:val="20"/>
        </w:rPr>
        <w:t xml:space="preserve">BW Design Group — Vacaville, CA</w:t>
      </w:r>
    </w:p>
    <w:p>
      <w:pPr>
        <w:pStyle w:val="ListParagraph"/>
        <w:numPr>
          <w:ilvl w:val="0"/>
          <w:numId w:val="2"/>
        </w:numPr>
        <w:spacing w:after="20"/>
      </w:pPr>
      <w:r>
        <w:rPr>
          <w:color w:val="1C1B19"/>
          <w:sz w:val="20"/>
          <w:szCs w:val="20"/>
        </w:rPr>
        <w:t xml:space="preserve">Lead controls engineer for life-science clients; project manager on large single-use-equipment CAPEX programs across the US.</w:t>
      </w:r>
    </w:p>
    <w:p>
      <w:pPr>
        <w:tabs>
          <w:tab w:val="right" w:pos="9026"/>
        </w:tabs>
        <w:spacing w:after="0" w:before="160"/>
      </w:pPr>
      <w:r>
        <w:rPr>
          <w:b/>
          <w:bCs/>
          <w:color w:val="1C1B19"/>
          <w:sz w:val="22"/>
          <w:szCs w:val="22"/>
        </w:rPr>
        <w:t xml:space="preserve">Senior / Principal Automation Engineer</w:t>
      </w:r>
      <w:r>
        <w:rPr>
          <w:color w:val="46443F"/>
          <w:sz w:val="19"/>
          <w:szCs w:val="19"/>
        </w:rPr>
        <w:t xml:space="preserve">	2015 – 2019</w:t>
      </w:r>
    </w:p>
    <w:p>
      <w:pPr>
        <w:spacing w:after="40"/>
      </w:pPr>
      <w:r>
        <w:rPr>
          <w:i/>
          <w:iCs/>
          <w:color w:val="46443F"/>
          <w:sz w:val="20"/>
          <w:szCs w:val="20"/>
        </w:rPr>
        <w:t xml:space="preserve">NNE (NNE Pharmaplan) — San Francisco Bay Area, CA</w:t>
      </w:r>
    </w:p>
    <w:p>
      <w:pPr>
        <w:pStyle w:val="ListParagraph"/>
        <w:numPr>
          <w:ilvl w:val="0"/>
          <w:numId w:val="2"/>
        </w:numPr>
        <w:spacing w:after="20"/>
      </w:pPr>
      <w:r>
        <w:rPr>
          <w:color w:val="1C1B19"/>
          <w:sz w:val="20"/>
          <w:szCs w:val="20"/>
        </w:rPr>
        <w:t xml:space="preserve">West-coast Engineer of Record on greenfield biologics, single-use, and continuous-manufacturing programs.</w:t>
      </w:r>
    </w:p>
    <w:p>
      <w:pPr>
        <w:pStyle w:val="ListParagraph"/>
        <w:numPr>
          <w:ilvl w:val="0"/>
          <w:numId w:val="2"/>
        </w:numPr>
        <w:spacing w:after="20"/>
      </w:pPr>
      <w:r>
        <w:rPr>
          <w:color w:val="1C1B19"/>
          <w:sz w:val="20"/>
          <w:szCs w:val="20"/>
        </w:rPr>
        <w:t xml:space="preserve">Designed and implemented PI Historian from lab to production at a commercial biotech facility.</w:t>
      </w:r>
    </w:p>
    <w:p>
      <w:pPr>
        <w:tabs>
          <w:tab w:val="right" w:pos="9026"/>
        </w:tabs>
        <w:spacing w:after="0" w:before="160"/>
      </w:pPr>
      <w:r>
        <w:rPr>
          <w:b/>
          <w:bCs/>
          <w:color w:val="1C1B19"/>
          <w:sz w:val="22"/>
          <w:szCs w:val="22"/>
        </w:rPr>
        <w:t xml:space="preserve">Field / Project Engineer</w:t>
      </w:r>
      <w:r>
        <w:rPr>
          <w:color w:val="46443F"/>
          <w:sz w:val="19"/>
          <w:szCs w:val="19"/>
        </w:rPr>
        <w:t xml:space="preserve">	2011 – 2015</w:t>
      </w:r>
    </w:p>
    <w:p>
      <w:pPr>
        <w:spacing w:after="40"/>
      </w:pPr>
      <w:r>
        <w:rPr>
          <w:i/>
          <w:iCs/>
          <w:color w:val="46443F"/>
          <w:sz w:val="20"/>
          <w:szCs w:val="20"/>
        </w:rPr>
        <w:t xml:space="preserve">Panduit — Folsom, CA (Singapore &amp; Hong Kong)</w:t>
      </w:r>
    </w:p>
    <w:p>
      <w:pPr>
        <w:pStyle w:val="ListParagraph"/>
        <w:numPr>
          <w:ilvl w:val="0"/>
          <w:numId w:val="2"/>
        </w:numPr>
        <w:spacing w:after="20"/>
      </w:pPr>
      <w:r>
        <w:rPr>
          <w:color w:val="1C1B19"/>
          <w:sz w:val="20"/>
          <w:szCs w:val="20"/>
        </w:rPr>
        <w:t xml:space="preserve">Delivered data-center monitoring and control solutions, with global assignments across Asia.</w:t>
      </w:r>
    </w:p>
    <w:p>
      <w:pPr>
        <w:pStyle w:val="Heading2"/>
        <w:pBdr>
          <w:bottom w:val="single" w:color="0E5C5B" w:sz="6" w:space="2"/>
        </w:pBdr>
        <w:spacing w:after="100" w:before="240"/>
      </w:pPr>
      <w:r>
        <w:rPr>
          <w:rFonts w:ascii="Arial" w:cs="Arial" w:eastAsia="Arial" w:hAnsi="Arial"/>
          <w:b/>
          <w:bCs/>
          <w:color w:val="0E5C5B"/>
          <w:spacing w:val="20"/>
          <w:sz w:val="22"/>
          <w:szCs w:val="22"/>
        </w:rPr>
        <w:t xml:space="preserve">SELECTED PROJECTS</w:t>
      </w:r>
    </w:p>
    <w:p>
      <w:pPr>
        <w:pStyle w:val="ListParagraph"/>
        <w:numPr>
          <w:ilvl w:val="0"/>
          <w:numId w:val="2"/>
        </w:numPr>
        <w:spacing w:after="20"/>
      </w:pPr>
      <w:r>
        <w:rPr>
          <w:color w:val="1C1B19"/>
          <w:sz w:val="20"/>
          <w:szCs w:val="20"/>
        </w:rPr>
        <w:t xml:space="preserve">Smart manufacturing roadmap &amp; AI/data enablement (Vertex) — strategy and architecture to make manufacturing data AI-ready, with a prioritized portfolio of AI use cases across the manufacturing systems estate.</w:t>
      </w:r>
    </w:p>
    <w:p>
      <w:pPr>
        <w:pStyle w:val="ListParagraph"/>
        <w:numPr>
          <w:ilvl w:val="0"/>
          <w:numId w:val="2"/>
        </w:numPr>
        <w:spacing w:after="20"/>
      </w:pPr>
      <w:r>
        <w:rPr>
          <w:color w:val="1C1B19"/>
          <w:sz w:val="20"/>
          <w:szCs w:val="20"/>
        </w:rPr>
        <w:t xml:space="preserve">Global Digital Plant Program, 62 sites (MilliporeSigma) — sector target architecture, digital strategy, and portfolio governance connecting plant systems to enterprise data and analytics.</w:t>
      </w:r>
    </w:p>
    <w:p>
      <w:pPr>
        <w:pStyle w:val="ListParagraph"/>
        <w:numPr>
          <w:ilvl w:val="0"/>
          <w:numId w:val="2"/>
        </w:numPr>
        <w:spacing w:after="20"/>
      </w:pPr>
      <w:r>
        <w:rPr>
          <w:color w:val="1C1B19"/>
          <w:sz w:val="20"/>
          <w:szCs w:val="20"/>
        </w:rPr>
        <w:t xml:space="preserve">Facility-wide alarm management &amp; centralized batch reporting (Thermo Fisher) — consolidated all facility alarms into a single pane of glass with escalation notifications, and a reporting engine producing consistent batch reports across any vendor or system.</w:t>
      </w:r>
    </w:p>
    <w:p>
      <w:pPr>
        <w:pStyle w:val="ListParagraph"/>
        <w:numPr>
          <w:ilvl w:val="0"/>
          <w:numId w:val="2"/>
        </w:numPr>
        <w:spacing w:after="20"/>
      </w:pPr>
      <w:r>
        <w:rPr>
          <w:color w:val="1C1B19"/>
          <w:sz w:val="20"/>
          <w:szCs w:val="20"/>
        </w:rPr>
        <w:t xml:space="preserve">Greenfield biologics PCS/BMS — full SCADA suite, process formulation and clean-utility systems, GMP HVAC, and equipment integration; SDS/HDS, PLC programming, FAT/SAT.</w:t>
      </w:r>
    </w:p>
    <w:p>
      <w:pPr>
        <w:pStyle w:val="ListParagraph"/>
        <w:numPr>
          <w:ilvl w:val="0"/>
          <w:numId w:val="2"/>
        </w:numPr>
        <w:spacing w:after="20"/>
      </w:pPr>
      <w:r>
        <w:rPr>
          <w:color w:val="1C1B19"/>
          <w:sz w:val="20"/>
          <w:szCs w:val="20"/>
        </w:rPr>
        <w:t xml:space="preserve">GMP OSIsoft PI design &amp; implementation — historian solution and network architecture across manufacturing lab → pilot plant → production at a major biotech facility.</w:t>
      </w:r>
    </w:p>
    <w:p>
      <w:pPr>
        <w:pStyle w:val="Heading2"/>
        <w:pBdr>
          <w:bottom w:val="single" w:color="0E5C5B" w:sz="6" w:space="2"/>
        </w:pBdr>
        <w:spacing w:after="100" w:before="240"/>
      </w:pPr>
      <w:r>
        <w:rPr>
          <w:rFonts w:ascii="Arial" w:cs="Arial" w:eastAsia="Arial" w:hAnsi="Arial"/>
          <w:b/>
          <w:bCs/>
          <w:color w:val="0E5C5B"/>
          <w:spacing w:val="20"/>
          <w:sz w:val="22"/>
          <w:szCs w:val="22"/>
        </w:rPr>
        <w:t xml:space="preserve">EDUCATION &amp; CERTIFICATIONS</w:t>
      </w:r>
    </w:p>
    <w:p>
      <w:pPr>
        <w:pStyle w:val="ListParagraph"/>
        <w:numPr>
          <w:ilvl w:val="0"/>
          <w:numId w:val="2"/>
        </w:numPr>
        <w:spacing w:after="20"/>
      </w:pPr>
      <w:r>
        <w:rPr>
          <w:color w:val="1C1B19"/>
          <w:sz w:val="20"/>
          <w:szCs w:val="20"/>
        </w:rPr>
        <w:t xml:space="preserve">B.S., Mechanical Engineering — California State University, Sacramento</w:t>
      </w:r>
    </w:p>
    <w:p>
      <w:pPr>
        <w:pStyle w:val="ListParagraph"/>
        <w:numPr>
          <w:ilvl w:val="0"/>
          <w:numId w:val="2"/>
        </w:numPr>
        <w:spacing w:after="20"/>
      </w:pPr>
      <w:r>
        <w:rPr>
          <w:color w:val="1C1B19"/>
          <w:sz w:val="20"/>
          <w:szCs w:val="20"/>
        </w:rPr>
        <w:t xml:space="preserve">Artificial Intelligence: Implications for Business Strategy — MIT Sloan Executive Education (Apr 2026); Credential ID 180521792</w:t>
      </w:r>
    </w:p>
    <w:p>
      <w:pPr>
        <w:pStyle w:val="ListParagraph"/>
        <w:numPr>
          <w:ilvl w:val="0"/>
          <w:numId w:val="2"/>
        </w:numPr>
        <w:spacing w:after="20"/>
      </w:pPr>
      <w:r>
        <w:rPr>
          <w:color w:val="1C1B19"/>
          <w:sz w:val="20"/>
          <w:szCs w:val="20"/>
        </w:rPr>
        <w:t xml:space="preserve">Licensed Professional Engineer (PE) — California (CS7550)</w:t>
      </w:r>
    </w:p>
    <w:p>
      <w:pPr>
        <w:pStyle w:val="Heading2"/>
        <w:pBdr>
          <w:bottom w:val="single" w:color="0E5C5B" w:sz="6" w:space="2"/>
        </w:pBdr>
        <w:spacing w:after="100" w:before="240"/>
      </w:pPr>
      <w:r>
        <w:rPr>
          <w:rFonts w:ascii="Arial" w:cs="Arial" w:eastAsia="Arial" w:hAnsi="Arial"/>
          <w:b/>
          <w:bCs/>
          <w:color w:val="0E5C5B"/>
          <w:spacing w:val="20"/>
          <w:sz w:val="22"/>
          <w:szCs w:val="22"/>
        </w:rPr>
        <w:t xml:space="preserve">AFFILIATIONS</w:t>
      </w:r>
    </w:p>
    <w:p>
      <w:pPr>
        <w:spacing w:after="40"/>
      </w:pPr>
      <w:r>
        <w:rPr>
          <w:color w:val="1C1B19"/>
          <w:sz w:val="20"/>
          <w:szCs w:val="20"/>
        </w:rPr>
        <w:t xml:space="preserve">BioPhorum  ·  ISPE  ·  IAAE  ·  Pistoia Alliance  ·  ISA  ·  NSPE  ·  Tau Beta Pi</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1B19"/>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00" w:before="240"/>
      <w:outlineLvl w:val="1"/>
    </w:pPr>
    <w:rPr>
      <w:rFonts w:ascii="Arial" w:cs="Arial" w:eastAsia="Arial" w:hAnsi="Arial"/>
      <w:b/>
      <w:bCs/>
      <w:color w:val="0E5C5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ge_irjtxmci_l83ws67ra" Type="http://schemas.openxmlformats.org/officeDocument/2006/relationships/hyperlink" Target="mailto:kockx.martin.pub@pm.me" TargetMode="External"/><Relationship Id="rIdi2es0h_86g1beevfapik6" Type="http://schemas.openxmlformats.org/officeDocument/2006/relationships/hyperlink" Target="https://www.linkedin.com/in/martinkockx/" TargetMode="External"/><Relationship Id="rIdxbgbxt7oupduk0mhnfu8q" Type="http://schemas.openxmlformats.org/officeDocument/2006/relationships/hyperlink" Target="https://martinkockx.org"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Kockx — Resume</dc:title>
  <dc:creator>Martin Kockx</dc:creator>
  <dc:description>Resume — Martin Kockx</dc:description>
  <cp:lastModifiedBy>Un-named</cp:lastModifiedBy>
  <cp:revision>1</cp:revision>
  <dcterms:created xsi:type="dcterms:W3CDTF">2026-06-23T23:03:04.422Z</dcterms:created>
  <dcterms:modified xsi:type="dcterms:W3CDTF">2026-06-23T23:03:04.422Z</dcterms:modified>
</cp:coreProperties>
</file>

<file path=docProps/custom.xml><?xml version="1.0" encoding="utf-8"?>
<Properties xmlns="http://schemas.openxmlformats.org/officeDocument/2006/custom-properties" xmlns:vt="http://schemas.openxmlformats.org/officeDocument/2006/docPropsVTypes"/>
</file>